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84" w:rsidRDefault="00661E84" w:rsidP="00661E84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СОВЕТ ДЕПУТАТОВ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                                      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661E84" w:rsidRDefault="00661E84" w:rsidP="00661E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661E84" w:rsidRDefault="00661E84" w:rsidP="00661E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 БЕРЕСТОВСКИЙ СЕЛЬСОВЕТ</w:t>
      </w:r>
    </w:p>
    <w:p w:rsidR="00661E84" w:rsidRDefault="00661E84" w:rsidP="00661E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НОВОСЕРГИЕВСКОГОРАЙОНА </w:t>
      </w:r>
    </w:p>
    <w:p w:rsidR="00661E84" w:rsidRDefault="00661E84" w:rsidP="00661E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 ОРЕНБУРГСКОЙ ОБЛАСТИ</w:t>
      </w:r>
    </w:p>
    <w:p w:rsidR="00661E84" w:rsidRDefault="00661E84" w:rsidP="00661E84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 ЧЕТВЕРТОГО СОЗЫВА</w:t>
      </w:r>
    </w:p>
    <w:p w:rsidR="00661E84" w:rsidRDefault="00661E84" w:rsidP="00661E84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       </w:t>
      </w:r>
    </w:p>
    <w:p w:rsidR="00661E84" w:rsidRDefault="00661E84" w:rsidP="00661E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           10.10.2022  г.  № 22/6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р.С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661E84" w:rsidRDefault="00661E84" w:rsidP="00661E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tabs>
          <w:tab w:val="left" w:pos="1843"/>
          <w:tab w:val="left" w:pos="1985"/>
        </w:tabs>
        <w:spacing w:after="0" w:line="240" w:lineRule="auto"/>
        <w:ind w:left="142" w:right="47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Положения о налоге  на имущество 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изических лиц по муниципальному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образованию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сельсовет»</w:t>
      </w:r>
    </w:p>
    <w:p w:rsidR="00661E84" w:rsidRDefault="00661E84" w:rsidP="00661E84">
      <w:pPr>
        <w:widowControl w:val="0"/>
        <w:spacing w:after="0" w:line="240" w:lineRule="auto"/>
        <w:ind w:right="47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Федерации, Законом Оренбургской области от 12.11.2015 №3457/971-V-ОЗ «Об установлении единой даты начала применения на территории Оренбургской области, порядка определения налоговой базы  по налогу на имущество физических лиц  исходя из кадастровой стоимости объектов налогообложения», Уставом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сельсовет, Совет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депутатов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  РЕШИЛ:</w:t>
      </w:r>
    </w:p>
    <w:p w:rsidR="00661E84" w:rsidRDefault="00661E84" w:rsidP="00661E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tabs>
          <w:tab w:val="left" w:pos="0"/>
          <w:tab w:val="left" w:pos="567"/>
          <w:tab w:val="left" w:pos="709"/>
          <w:tab w:val="left" w:pos="851"/>
          <w:tab w:val="left" w:pos="108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1.Утвердить Положение «О налоге на имущество физических лиц по муниципальному образованию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№1).</w:t>
      </w:r>
    </w:p>
    <w:p w:rsidR="00661E84" w:rsidRDefault="00661E84" w:rsidP="00661E84">
      <w:pPr>
        <w:tabs>
          <w:tab w:val="left" w:pos="0"/>
          <w:tab w:val="left" w:pos="567"/>
          <w:tab w:val="left" w:pos="709"/>
          <w:tab w:val="left" w:pos="851"/>
          <w:tab w:val="left" w:pos="108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61E84" w:rsidRDefault="00661E84" w:rsidP="00661E84">
      <w:pPr>
        <w:tabs>
          <w:tab w:val="left" w:pos="0"/>
          <w:tab w:val="left" w:pos="567"/>
          <w:tab w:val="left" w:pos="709"/>
          <w:tab w:val="left" w:pos="108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2. Обнародовать настоящее решение в соответствии с Уставом.</w:t>
      </w:r>
    </w:p>
    <w:p w:rsidR="00661E84" w:rsidRDefault="00661E84" w:rsidP="00661E84">
      <w:pPr>
        <w:tabs>
          <w:tab w:val="left" w:pos="0"/>
          <w:tab w:val="left" w:pos="567"/>
          <w:tab w:val="left" w:pos="709"/>
          <w:tab w:val="left" w:pos="108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tabs>
          <w:tab w:val="left" w:pos="0"/>
          <w:tab w:val="left" w:pos="567"/>
          <w:tab w:val="left" w:pos="709"/>
          <w:tab w:val="left" w:pos="108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3. Отменить решение Совета депутатов № 14/3р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21.12.2021г «Об утверждении Положения  о налоге на имущество физических лиц по муниципальному образованию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сельсовет» как утратившее законную силу.</w:t>
      </w:r>
    </w:p>
    <w:p w:rsidR="00661E84" w:rsidRDefault="00661E84" w:rsidP="00661E84">
      <w:pPr>
        <w:tabs>
          <w:tab w:val="left" w:pos="0"/>
          <w:tab w:val="left" w:pos="567"/>
          <w:tab w:val="left" w:pos="709"/>
          <w:tab w:val="left" w:pos="108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tabs>
          <w:tab w:val="left" w:pos="851"/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4.Настоящее решение вступает в силу после его официального обнародования, но не ранее  01 января 2023года.</w:t>
      </w:r>
    </w:p>
    <w:p w:rsidR="00661E84" w:rsidRDefault="00661E84" w:rsidP="00661E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Совета депутатов                               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Т.А.Дубинкина</w:t>
      </w:r>
      <w:proofErr w:type="spellEnd"/>
    </w:p>
    <w:p w:rsidR="00661E84" w:rsidRDefault="00661E84" w:rsidP="00661E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Вр.и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Главы муниципального образования-</w:t>
      </w:r>
    </w:p>
    <w:p w:rsidR="00661E84" w:rsidRDefault="00661E84" w:rsidP="00661E84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               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Т.Д.Местюкова</w:t>
      </w:r>
      <w:proofErr w:type="spellEnd"/>
    </w:p>
    <w:p w:rsidR="00661E84" w:rsidRDefault="00661E84" w:rsidP="00661E84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Разослано: финотделу,  МРИФНС России № 6 по Оренбургской  области, прокурору, для обнародования.</w:t>
      </w:r>
    </w:p>
    <w:p w:rsidR="00661E84" w:rsidRDefault="00661E84" w:rsidP="00661E8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661E84" w:rsidRDefault="00661E84" w:rsidP="00661E8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                                                                                  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        </w:t>
      </w:r>
    </w:p>
    <w:p w:rsidR="00661E84" w:rsidRDefault="00661E84" w:rsidP="00661E8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 Приложение № 1</w:t>
      </w:r>
    </w:p>
    <w:p w:rsidR="00661E84" w:rsidRDefault="00661E84" w:rsidP="00661E84">
      <w:pPr>
        <w:widowControl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661E84" w:rsidRDefault="00661E84" w:rsidP="00661E84">
      <w:pPr>
        <w:widowControl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661E84" w:rsidRDefault="00661E84" w:rsidP="00661E84">
      <w:pPr>
        <w:widowControl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Берестовский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</w:p>
    <w:p w:rsidR="00661E84" w:rsidRDefault="00661E84" w:rsidP="00661E84">
      <w:pPr>
        <w:widowControl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от  10.10.2022 г. № 22/6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р.С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661E84" w:rsidRDefault="00661E84" w:rsidP="00661E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 </w:t>
      </w:r>
    </w:p>
    <w:p w:rsidR="00661E84" w:rsidRDefault="00661E84" w:rsidP="00661E84">
      <w:pPr>
        <w:widowControl w:val="0"/>
        <w:shd w:val="clear" w:color="auto" w:fill="FFFFFF"/>
        <w:spacing w:after="0" w:line="240" w:lineRule="auto"/>
        <w:ind w:left="3115" w:righ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hd w:val="clear" w:color="auto" w:fill="FFFFFF"/>
        <w:spacing w:after="0" w:line="240" w:lineRule="auto"/>
        <w:ind w:left="3115" w:righ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hd w:val="clear" w:color="auto" w:fill="FFFFFF"/>
        <w:spacing w:after="0" w:line="240" w:lineRule="auto"/>
        <w:ind w:left="3115" w:righ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hd w:val="clear" w:color="auto" w:fill="FFFFFF"/>
        <w:spacing w:after="0" w:line="240" w:lineRule="auto"/>
        <w:ind w:right="-1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661E84" w:rsidRDefault="00661E84" w:rsidP="00661E84">
      <w:pPr>
        <w:widowControl w:val="0"/>
        <w:shd w:val="clear" w:color="auto" w:fill="FFFFFF"/>
        <w:spacing w:after="0" w:line="240" w:lineRule="auto"/>
        <w:ind w:right="-1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НАЛОГЕ  НА ИМУЩЕСТВО ФИЗИЧЕСКИХ ЛИЦ</w:t>
      </w:r>
    </w:p>
    <w:p w:rsidR="00661E84" w:rsidRDefault="00661E84" w:rsidP="00661E84">
      <w:pPr>
        <w:widowControl w:val="0"/>
        <w:shd w:val="clear" w:color="auto" w:fill="FFFFFF"/>
        <w:spacing w:after="0" w:line="240" w:lineRule="auto"/>
        <w:ind w:right="-1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1440" w:right="-1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61E84" w:rsidRDefault="00661E84" w:rsidP="00661E84">
      <w:pPr>
        <w:widowControl w:val="0"/>
        <w:shd w:val="clear" w:color="auto" w:fill="FFFFFF"/>
        <w:spacing w:after="0" w:line="240" w:lineRule="auto"/>
        <w:ind w:right="-1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hd w:val="clear" w:color="auto" w:fill="FFFFFF"/>
        <w:spacing w:after="0" w:line="240" w:lineRule="auto"/>
        <w:ind w:right="-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 на имущество физических лиц (далее - налог) устанавливается и вводится в действие, а также прекращает действовать в соответствии с Налоговым Кодексом Российской Федерации (далее – НК РФ) и настоящим Положением и обязателен к уплате на территории муниципального образования.</w:t>
      </w:r>
    </w:p>
    <w:p w:rsidR="00661E84" w:rsidRDefault="00661E84" w:rsidP="00661E84">
      <w:pPr>
        <w:widowControl w:val="0"/>
        <w:shd w:val="clear" w:color="auto" w:fill="FFFFFF"/>
        <w:spacing w:after="0" w:line="240" w:lineRule="auto"/>
        <w:ind w:right="-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right="-1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Налогоплательщики</w:t>
      </w:r>
    </w:p>
    <w:p w:rsidR="00661E84" w:rsidRDefault="00661E84" w:rsidP="00661E84">
      <w:pPr>
        <w:widowControl w:val="0"/>
        <w:shd w:val="clear" w:color="auto" w:fill="FFFFFF"/>
        <w:spacing w:after="0" w:line="240" w:lineRule="auto"/>
        <w:ind w:right="-1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1.Налогоплательщиками налога (далее в настоящей главе налогоплательщики) признаются физические лица, обладающие правом собственности на имущество, признаваемое объектом налогообложения в соответствии с пунктом 3 настоящего Положения. </w:t>
      </w:r>
    </w:p>
    <w:p w:rsidR="00661E84" w:rsidRDefault="00661E84" w:rsidP="00661E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Объект налогообложения</w:t>
      </w:r>
    </w:p>
    <w:p w:rsidR="00661E84" w:rsidRDefault="00661E84" w:rsidP="00661E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Объекты налогообложения определяются в соответствии со ст.401 Налогового кодекса Российской Федерации.</w:t>
      </w:r>
    </w:p>
    <w:p w:rsidR="00661E84" w:rsidRDefault="00661E84" w:rsidP="00661E8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Налоговая база</w:t>
      </w:r>
    </w:p>
    <w:p w:rsidR="00661E84" w:rsidRDefault="00661E84" w:rsidP="00661E84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Налоговая база определяется в соответствии со статьей 403 НК  РФ.</w:t>
      </w:r>
    </w:p>
    <w:p w:rsidR="00661E84" w:rsidRDefault="00661E84" w:rsidP="00661E84">
      <w:pPr>
        <w:widowControl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Налоговые ставки </w:t>
      </w:r>
    </w:p>
    <w:p w:rsidR="00661E84" w:rsidRDefault="00661E84" w:rsidP="00661E84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1.При определении налоговой базы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 кадастровой стоимости объекта налогообложения налоговые ставки устанавливаются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  следующих размерах:</w:t>
      </w:r>
    </w:p>
    <w:p w:rsidR="00661E84" w:rsidRDefault="00661E84" w:rsidP="00661E8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0,1 процента в отношении:</w:t>
      </w:r>
    </w:p>
    <w:p w:rsidR="00661E84" w:rsidRDefault="00661E84" w:rsidP="00661E8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жилых домов, части жилого дома, квартир, части квартиры,  комнаты;</w:t>
      </w:r>
    </w:p>
    <w:p w:rsidR="00661E84" w:rsidRDefault="00661E84" w:rsidP="00661E8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61E84" w:rsidRDefault="00661E84" w:rsidP="00661E8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661E84" w:rsidRDefault="00661E84" w:rsidP="00661E8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гаражей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машинно-мест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расположенных в объектах налогообложения, в том числе расположенных в объектах налогообложения, указанных в подпункте 2 пункта 2 ст.406 НК РФ;</w:t>
      </w:r>
    </w:p>
    <w:p w:rsidR="00661E84" w:rsidRDefault="00661E84" w:rsidP="00661E8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подсобного, огородничества, садоводства или индивидуального жилищного строительства;</w:t>
      </w:r>
    </w:p>
    <w:p w:rsidR="00661E84" w:rsidRDefault="00661E84" w:rsidP="00661E8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6" w:tooltip="consultantplus://offline/ref=7B23E080179C9CDD218AE2C95C98D589B7EF55801538A5BCE3B23CC924ED5205754EBE21EA7BP5a2J" w:history="1">
        <w:r>
          <w:rPr>
            <w:rStyle w:val="a3"/>
            <w:rFonts w:ascii="Times New Roman" w:eastAsia="Times New Roman" w:hAnsi="Times New Roman"/>
            <w:color w:val="000000"/>
            <w:lang w:eastAsia="ru-RU"/>
          </w:rPr>
          <w:t>пунктом 7 статьи 378.2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7" w:tooltip="consultantplus://offline/ref=7B23E080179C9CDD218AE2C95C98D589B7EF55801538A5BCE3B23CC924ED5205754EBE21EF7CP5aFJ" w:history="1">
        <w:r>
          <w:rPr>
            <w:rStyle w:val="a3"/>
            <w:rFonts w:ascii="Times New Roman" w:eastAsia="Times New Roman" w:hAnsi="Times New Roman"/>
            <w:color w:val="000000"/>
            <w:lang w:eastAsia="ru-RU"/>
          </w:rPr>
          <w:t>абзацем вторым пункта 10 статьи 378.2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661E84" w:rsidRDefault="00661E84" w:rsidP="00661E8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661E84" w:rsidRDefault="00661E84" w:rsidP="00661E84">
      <w:pPr>
        <w:widowControl w:val="0"/>
        <w:shd w:val="clear" w:color="auto" w:fill="FFFFFF"/>
        <w:spacing w:before="290"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Налоговые льготы</w:t>
      </w:r>
    </w:p>
    <w:p w:rsidR="00661E84" w:rsidRDefault="00661E84" w:rsidP="00661E84">
      <w:pPr>
        <w:widowControl w:val="0"/>
        <w:shd w:val="clear" w:color="auto" w:fill="FFFFFF"/>
        <w:tabs>
          <w:tab w:val="left" w:pos="842"/>
        </w:tabs>
        <w:spacing w:before="221" w:after="0" w:line="240" w:lineRule="auto"/>
        <w:ind w:right="4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Берестовского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льготы устанавливаются в соответствии со ст.407 НК РФ. </w:t>
      </w:r>
    </w:p>
    <w:p w:rsidR="00661E84" w:rsidRDefault="00661E84" w:rsidP="00661E84">
      <w:pPr>
        <w:widowControl w:val="0"/>
        <w:shd w:val="clear" w:color="auto" w:fill="FFFFFF"/>
        <w:tabs>
          <w:tab w:val="left" w:pos="842"/>
        </w:tabs>
        <w:spacing w:before="221" w:after="0" w:line="240" w:lineRule="auto"/>
        <w:ind w:right="4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Кроме того, дополнительно от уплаты налогов на имущество физических лиц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Берестовский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освобождаются народные дружинники, состоящие в добровольной народной дружине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Берестовского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сельсовета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области.</w:t>
      </w:r>
    </w:p>
    <w:p w:rsidR="00661E84" w:rsidRDefault="00661E84" w:rsidP="00661E84">
      <w:pPr>
        <w:widowControl w:val="0"/>
        <w:shd w:val="clear" w:color="auto" w:fill="FFFFFF"/>
        <w:spacing w:after="0" w:line="240" w:lineRule="auto"/>
        <w:ind w:left="360" w:right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hd w:val="clear" w:color="auto" w:fill="FFFFFF"/>
        <w:spacing w:after="0" w:line="240" w:lineRule="auto"/>
        <w:ind w:left="360" w:right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7.Порядок  и сроки уплаты налога</w:t>
      </w:r>
    </w:p>
    <w:p w:rsidR="00661E84" w:rsidRDefault="00661E84" w:rsidP="00661E84">
      <w:pPr>
        <w:widowControl w:val="0"/>
        <w:shd w:val="clear" w:color="auto" w:fill="FFFFFF"/>
        <w:spacing w:after="0" w:line="240" w:lineRule="auto"/>
        <w:ind w:left="360" w:right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hd w:val="clear" w:color="auto" w:fill="FFFFFF"/>
        <w:tabs>
          <w:tab w:val="left" w:pos="1134"/>
        </w:tabs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 1. Налог подлежит уплате в срок, установленный ст.409 НК РФ.</w:t>
      </w:r>
    </w:p>
    <w:p w:rsidR="00661E84" w:rsidRDefault="00661E84" w:rsidP="00661E84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61E84" w:rsidRDefault="00661E84" w:rsidP="00661E84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E1595" w:rsidRDefault="007E1595"/>
    <w:sectPr w:rsidR="007E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A13"/>
    <w:multiLevelType w:val="multilevel"/>
    <w:tmpl w:val="D9F2C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45F6"/>
    <w:multiLevelType w:val="multilevel"/>
    <w:tmpl w:val="51769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E1EBB"/>
    <w:multiLevelType w:val="multilevel"/>
    <w:tmpl w:val="6D18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74549"/>
    <w:multiLevelType w:val="multilevel"/>
    <w:tmpl w:val="86D62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034FC"/>
    <w:multiLevelType w:val="multilevel"/>
    <w:tmpl w:val="D0968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8"/>
    <w:rsid w:val="002475C8"/>
    <w:rsid w:val="00661E84"/>
    <w:rsid w:val="007E1595"/>
    <w:rsid w:val="00B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6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A1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61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6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A1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61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23E080179C9CDD218AE2C95C98D589B7EF55801538A5BCE3B23CC924ED5205754EBE21EF7CP5a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23E080179C9CDD218AE2C95C98D589B7EF55801538A5BCE3B23CC924ED5205754EBE21EA7BP5a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2023-01-23T10:17:00Z</dcterms:created>
  <dcterms:modified xsi:type="dcterms:W3CDTF">2023-01-23T10:18:00Z</dcterms:modified>
</cp:coreProperties>
</file>